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60A7" w14:textId="77777777" w:rsidR="00063D6B" w:rsidRPr="004B3DC7" w:rsidRDefault="00063D6B" w:rsidP="00063D6B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 w:rsidRPr="00374DC7">
        <w:rPr>
          <w:b/>
          <w:bCs/>
          <w:u w:val="single"/>
          <w:lang w:val="pl-PL"/>
        </w:rPr>
        <w:t>Serwer backup</w:t>
      </w:r>
    </w:p>
    <w:p w14:paraId="3BF3D351" w14:textId="77777777" w:rsidR="00063D6B" w:rsidRDefault="00063D6B" w:rsidP="00063D6B">
      <w:pPr>
        <w:rPr>
          <w:b/>
          <w:bCs/>
          <w:u w:val="single"/>
        </w:rPr>
      </w:pPr>
    </w:p>
    <w:tbl>
      <w:tblPr>
        <w:tblW w:w="5000" w:type="pct"/>
        <w:tblBorders>
          <w:top w:val="single" w:sz="8" w:space="0" w:color="95BA98"/>
          <w:left w:val="single" w:sz="8" w:space="0" w:color="95BA98"/>
          <w:bottom w:val="single" w:sz="8" w:space="0" w:color="95BA98"/>
          <w:right w:val="single" w:sz="8" w:space="0" w:color="95BA98"/>
          <w:insideH w:val="single" w:sz="8" w:space="0" w:color="95BA98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6579"/>
      </w:tblGrid>
      <w:tr w:rsidR="00063D6B" w:rsidRPr="00893C40" w14:paraId="6CB96185" w14:textId="77777777" w:rsidTr="00862F88">
        <w:tc>
          <w:tcPr>
            <w:tcW w:w="1366" w:type="pct"/>
            <w:shd w:val="clear" w:color="auto" w:fill="auto"/>
            <w:vAlign w:val="center"/>
          </w:tcPr>
          <w:p w14:paraId="2C5490DB" w14:textId="60735BF6" w:rsidR="00063D6B" w:rsidRPr="00862F88" w:rsidRDefault="00862F88" w:rsidP="00862F88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862F88">
              <w:rPr>
                <w:b/>
                <w:bCs/>
                <w:sz w:val="24"/>
                <w:szCs w:val="24"/>
                <w:lang w:val="pl-PL"/>
              </w:rPr>
              <w:t>Nazwa elementu, parametru lub cechy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4345ED9C" w14:textId="1680C52F" w:rsidR="00063D6B" w:rsidRPr="00862F88" w:rsidRDefault="00862F88" w:rsidP="00862F88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val="pl-PL"/>
              </w:rPr>
            </w:pPr>
            <w:r w:rsidRPr="00862F88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Opis </w:t>
            </w:r>
            <w:r w:rsidR="00DE468C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minimalnych </w:t>
            </w:r>
            <w:r w:rsidRPr="00862F88">
              <w:rPr>
                <w:b/>
                <w:bCs/>
                <w:color w:val="000000"/>
                <w:sz w:val="24"/>
                <w:szCs w:val="24"/>
                <w:lang w:val="pl-PL"/>
              </w:rPr>
              <w:t>wymagań Serwera</w:t>
            </w:r>
          </w:p>
        </w:tc>
      </w:tr>
      <w:tr w:rsidR="00862F88" w:rsidRPr="00893C40" w14:paraId="0AFD1A55" w14:textId="77777777" w:rsidTr="00862F88">
        <w:tc>
          <w:tcPr>
            <w:tcW w:w="1366" w:type="pct"/>
            <w:shd w:val="clear" w:color="auto" w:fill="auto"/>
          </w:tcPr>
          <w:p w14:paraId="1AF555B3" w14:textId="517CFA57" w:rsidR="00862F88" w:rsidRPr="00893C40" w:rsidRDefault="00862F88" w:rsidP="00862F88">
            <w:pPr>
              <w:rPr>
                <w:b/>
                <w:bCs/>
                <w:sz w:val="20"/>
                <w:lang w:val="pl-PL"/>
              </w:rPr>
            </w:pPr>
            <w:r w:rsidRPr="00893C40">
              <w:rPr>
                <w:b/>
                <w:bCs/>
                <w:sz w:val="20"/>
                <w:lang w:val="pl-PL"/>
              </w:rPr>
              <w:t>Ilość sztuk</w:t>
            </w:r>
          </w:p>
        </w:tc>
        <w:tc>
          <w:tcPr>
            <w:tcW w:w="3634" w:type="pct"/>
            <w:shd w:val="clear" w:color="auto" w:fill="auto"/>
          </w:tcPr>
          <w:p w14:paraId="50E56268" w14:textId="429CB140" w:rsidR="00862F88" w:rsidRDefault="00862F88" w:rsidP="00862F88">
            <w:pPr>
              <w:rPr>
                <w:color w:val="000000"/>
                <w:sz w:val="20"/>
                <w:highlight w:val="yellow"/>
                <w:lang w:val="pl-PL"/>
              </w:rPr>
            </w:pPr>
            <w:r w:rsidRPr="00862F88">
              <w:rPr>
                <w:color w:val="000000"/>
                <w:sz w:val="20"/>
                <w:lang w:val="pl-PL"/>
              </w:rPr>
              <w:t>1</w:t>
            </w:r>
          </w:p>
        </w:tc>
      </w:tr>
      <w:tr w:rsidR="00862F88" w:rsidRPr="0087172B" w14:paraId="0A4BA8FE" w14:textId="77777777" w:rsidTr="00862F88">
        <w:tc>
          <w:tcPr>
            <w:tcW w:w="1366" w:type="pct"/>
            <w:shd w:val="clear" w:color="auto" w:fill="auto"/>
            <w:vAlign w:val="center"/>
          </w:tcPr>
          <w:p w14:paraId="1EDF2215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Obudowa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712B2F5B" w14:textId="77777777" w:rsidR="00862F88" w:rsidRDefault="00862F88" w:rsidP="00862F88">
            <w:pPr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>Do instalacji w szafie Rack 19</w:t>
            </w:r>
            <w:r>
              <w:rPr>
                <w:sz w:val="20"/>
                <w:lang w:val="pl-PL"/>
              </w:rPr>
              <w:t>”</w:t>
            </w:r>
            <w:r w:rsidRPr="00893C40">
              <w:rPr>
                <w:sz w:val="20"/>
                <w:lang w:val="pl-PL"/>
              </w:rPr>
              <w:t xml:space="preserve">, wysokość nie więcej niż </w:t>
            </w:r>
            <w:r>
              <w:rPr>
                <w:sz w:val="20"/>
                <w:lang w:val="pl-PL"/>
              </w:rPr>
              <w:t>1</w:t>
            </w:r>
            <w:r w:rsidRPr="00893C40">
              <w:rPr>
                <w:sz w:val="20"/>
                <w:lang w:val="pl-PL"/>
              </w:rPr>
              <w:t>U, z zestawem szyn do mocowania w szafie i wysuwania do celów serwisowych.</w:t>
            </w:r>
          </w:p>
          <w:p w14:paraId="20C4AAF3" w14:textId="77777777" w:rsidR="00862F88" w:rsidRDefault="00862F88" w:rsidP="00862F88">
            <w:pPr>
              <w:rPr>
                <w:sz w:val="20"/>
                <w:lang w:val="pl-PL"/>
              </w:rPr>
            </w:pPr>
          </w:p>
          <w:p w14:paraId="33DEED8A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Możliwość wyposażenia obudowy w dedykowany wbudowany lub przenośny panel operatora - serwer musi też posiadać możliwość monitoringu najważniejszych komponentów serwera przy użyciu dedykowanej aplikacji mobilnej min. (Android/ Apple iOS) nie dopuszcza się bezpośredniej komunikacji bezprzewodowej z procesorem serwisowym dopuszcza się wyłącznie połączenie bezpośrednie np. USB czy dedykowanego złącza diagnostycznego, procesory serwisowe z komunikacją bezprzewodową muszą mieć możliwość całkowitej dezaktywacji komunikacji radiowej</w:t>
            </w:r>
          </w:p>
        </w:tc>
      </w:tr>
      <w:tr w:rsidR="00862F88" w:rsidRPr="0087172B" w14:paraId="598A6E28" w14:textId="77777777" w:rsidTr="00862F88">
        <w:tc>
          <w:tcPr>
            <w:tcW w:w="1366" w:type="pct"/>
            <w:shd w:val="clear" w:color="auto" w:fill="auto"/>
            <w:vAlign w:val="center"/>
          </w:tcPr>
          <w:p w14:paraId="139ED44B" w14:textId="77777777" w:rsidR="00862F88" w:rsidRPr="00893C40" w:rsidRDefault="00862F88" w:rsidP="00862F88">
            <w:pPr>
              <w:rPr>
                <w:b/>
                <w:bCs/>
                <w:sz w:val="20"/>
                <w:lang w:val="pl-PL"/>
              </w:rPr>
            </w:pPr>
            <w:r w:rsidRPr="00893C40">
              <w:rPr>
                <w:b/>
                <w:bCs/>
                <w:sz w:val="20"/>
                <w:lang w:val="pl-PL"/>
              </w:rPr>
              <w:t>Procesor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4F4307AE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 xml:space="preserve">Architektura x86, maksymalny TDP dla procesora – </w:t>
            </w:r>
            <w:r>
              <w:rPr>
                <w:sz w:val="20"/>
                <w:lang w:val="pl-PL"/>
              </w:rPr>
              <w:t>105W</w:t>
            </w:r>
            <w:r w:rsidRPr="00893C40">
              <w:rPr>
                <w:sz w:val="20"/>
                <w:lang w:val="pl-PL"/>
              </w:rPr>
              <w:t xml:space="preserve">. </w:t>
            </w:r>
            <w:r>
              <w:rPr>
                <w:sz w:val="20"/>
                <w:lang w:val="pl-PL"/>
              </w:rPr>
              <w:t xml:space="preserve">Ilość </w:t>
            </w:r>
            <w:r w:rsidRPr="00893C40">
              <w:rPr>
                <w:sz w:val="20"/>
                <w:lang w:val="pl-PL"/>
              </w:rPr>
              <w:t xml:space="preserve">rdzeni dla procesora – </w:t>
            </w:r>
            <w:r>
              <w:rPr>
                <w:sz w:val="20"/>
                <w:lang w:val="pl-PL"/>
              </w:rPr>
              <w:t>8, zegar min 2.8GHz.</w:t>
            </w:r>
            <w:r w:rsidRPr="00893C4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Wsparcie dla procesorów do 40 rdzeni o mocy do 270W.</w:t>
            </w:r>
          </w:p>
        </w:tc>
      </w:tr>
      <w:tr w:rsidR="00862F88" w:rsidRPr="00893C40" w14:paraId="1F096117" w14:textId="77777777" w:rsidTr="00862F88">
        <w:tc>
          <w:tcPr>
            <w:tcW w:w="1366" w:type="pct"/>
            <w:shd w:val="clear" w:color="auto" w:fill="auto"/>
            <w:vAlign w:val="center"/>
          </w:tcPr>
          <w:p w14:paraId="2EB0ED78" w14:textId="77777777" w:rsidR="00862F88" w:rsidRPr="00893C40" w:rsidRDefault="00862F88" w:rsidP="00862F88">
            <w:pPr>
              <w:rPr>
                <w:b/>
                <w:bCs/>
                <w:sz w:val="20"/>
                <w:lang w:val="pl-PL"/>
              </w:rPr>
            </w:pPr>
            <w:r w:rsidRPr="00893C40">
              <w:rPr>
                <w:b/>
                <w:bCs/>
                <w:sz w:val="20"/>
                <w:lang w:val="pl-PL"/>
              </w:rPr>
              <w:t xml:space="preserve">Liczba procesorów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492CE83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</w:tr>
      <w:tr w:rsidR="00862F88" w:rsidRPr="00ED1AB7" w14:paraId="2FF13D21" w14:textId="77777777" w:rsidTr="00862F88">
        <w:tc>
          <w:tcPr>
            <w:tcW w:w="1366" w:type="pct"/>
            <w:shd w:val="clear" w:color="auto" w:fill="auto"/>
            <w:vAlign w:val="center"/>
          </w:tcPr>
          <w:p w14:paraId="45DE7F9B" w14:textId="77777777" w:rsidR="00862F88" w:rsidRPr="00893C40" w:rsidRDefault="00862F88" w:rsidP="00862F88">
            <w:pPr>
              <w:rPr>
                <w:b/>
                <w:bCs/>
                <w:sz w:val="20"/>
                <w:lang w:val="pl-PL"/>
              </w:rPr>
            </w:pPr>
            <w:r w:rsidRPr="00893C40">
              <w:rPr>
                <w:b/>
                <w:bCs/>
                <w:sz w:val="20"/>
                <w:lang w:val="pl-PL"/>
              </w:rPr>
              <w:t>Płyta główna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3D22565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 xml:space="preserve">Płyta główna dedykowana do pracy w serwerach, wyprodukowana przez producenta serwera z możliwością zainstalowania do </w:t>
            </w:r>
            <w:r>
              <w:rPr>
                <w:sz w:val="20"/>
                <w:lang w:val="pl-PL"/>
              </w:rPr>
              <w:t>dwóch p</w:t>
            </w:r>
            <w:r w:rsidRPr="00893C40">
              <w:rPr>
                <w:sz w:val="20"/>
                <w:lang w:val="pl-PL"/>
              </w:rPr>
              <w:t>rocesorów wykonujących 64-bitowe instrukcje AMD64 lub EM64T (np. AMD Opteron albo Intel Xeon)</w:t>
            </w:r>
          </w:p>
        </w:tc>
      </w:tr>
      <w:tr w:rsidR="00862F88" w:rsidRPr="0087172B" w14:paraId="37FC3C45" w14:textId="77777777" w:rsidTr="00862F88">
        <w:tc>
          <w:tcPr>
            <w:tcW w:w="1366" w:type="pct"/>
            <w:shd w:val="clear" w:color="auto" w:fill="auto"/>
            <w:vAlign w:val="center"/>
          </w:tcPr>
          <w:p w14:paraId="54C2DF9F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Pamięć operacyjna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309BF49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>Zainstalowane minimum</w:t>
            </w:r>
            <w:r>
              <w:rPr>
                <w:sz w:val="20"/>
                <w:lang w:val="pl-PL"/>
              </w:rPr>
              <w:t xml:space="preserve"> 64GB p</w:t>
            </w:r>
            <w:r w:rsidRPr="00893C40">
              <w:rPr>
                <w:sz w:val="20"/>
                <w:lang w:val="pl-PL"/>
              </w:rPr>
              <w:t xml:space="preserve">amięci RAM. Minimum </w:t>
            </w:r>
            <w:r>
              <w:rPr>
                <w:sz w:val="20"/>
                <w:lang w:val="pl-PL"/>
              </w:rPr>
              <w:t>32</w:t>
            </w:r>
            <w:r w:rsidRPr="00893C40">
              <w:rPr>
                <w:sz w:val="20"/>
                <w:lang w:val="pl-PL"/>
              </w:rPr>
              <w:t xml:space="preserve"> sloty na pamięć. Mo</w:t>
            </w:r>
            <w:r>
              <w:rPr>
                <w:sz w:val="20"/>
                <w:lang w:val="pl-PL"/>
              </w:rPr>
              <w:t>ż</w:t>
            </w:r>
            <w:r w:rsidRPr="00893C40">
              <w:rPr>
                <w:sz w:val="20"/>
                <w:lang w:val="pl-PL"/>
              </w:rPr>
              <w:t>liwość rozbudowy do</w:t>
            </w:r>
            <w:r>
              <w:rPr>
                <w:sz w:val="20"/>
                <w:lang w:val="pl-PL"/>
              </w:rPr>
              <w:t xml:space="preserve"> 1</w:t>
            </w:r>
            <w:r w:rsidRPr="00893C40">
              <w:rPr>
                <w:sz w:val="20"/>
                <w:lang w:val="pl-PL"/>
              </w:rPr>
              <w:t>TB RAM</w:t>
            </w:r>
            <w:r>
              <w:rPr>
                <w:sz w:val="20"/>
                <w:lang w:val="pl-PL"/>
              </w:rPr>
              <w:t xml:space="preserve"> bez wyciągania kości</w:t>
            </w:r>
            <w:r w:rsidRPr="00893C40">
              <w:rPr>
                <w:sz w:val="20"/>
                <w:lang w:val="pl-PL"/>
              </w:rPr>
              <w:t>.</w:t>
            </w:r>
            <w:r>
              <w:rPr>
                <w:sz w:val="20"/>
                <w:lang w:val="pl-PL"/>
              </w:rPr>
              <w:t xml:space="preserve"> Możliwość instalacji pamięci nieulotnych Intel Optane PM200 – min. 8TB Optane PM</w:t>
            </w:r>
          </w:p>
        </w:tc>
      </w:tr>
      <w:tr w:rsidR="00862F88" w:rsidRPr="00893C40" w14:paraId="34B056C0" w14:textId="77777777" w:rsidTr="00862F88">
        <w:tc>
          <w:tcPr>
            <w:tcW w:w="1366" w:type="pct"/>
            <w:shd w:val="clear" w:color="auto" w:fill="auto"/>
            <w:vAlign w:val="center"/>
          </w:tcPr>
          <w:p w14:paraId="62A0FA5B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Zabezpieczenie pamięci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4B16659" w14:textId="77777777" w:rsidR="00862F88" w:rsidRPr="00893C40" w:rsidRDefault="00862F88" w:rsidP="00862F88">
            <w:pPr>
              <w:rPr>
                <w:sz w:val="20"/>
              </w:rPr>
            </w:pPr>
            <w:r w:rsidRPr="00893C40">
              <w:rPr>
                <w:sz w:val="20"/>
              </w:rPr>
              <w:t>memory mirroring, ECC, SDDC, ADDDC</w:t>
            </w:r>
          </w:p>
        </w:tc>
      </w:tr>
      <w:tr w:rsidR="00862F88" w:rsidRPr="0087172B" w14:paraId="06D19586" w14:textId="77777777" w:rsidTr="00862F88">
        <w:tc>
          <w:tcPr>
            <w:tcW w:w="1366" w:type="pct"/>
            <w:shd w:val="clear" w:color="auto" w:fill="auto"/>
            <w:vAlign w:val="center"/>
          </w:tcPr>
          <w:p w14:paraId="6BFCC53C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Procesor Graficzny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B27858F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>Zintegrowana karta graficzna z minimum 16MB pamięci osiągająca rozdzielczość 1920x1200 przy 60 Hz.</w:t>
            </w:r>
          </w:p>
          <w:p w14:paraId="163B950B" w14:textId="77777777" w:rsidR="00862F88" w:rsidRPr="00893C40" w:rsidRDefault="00862F88" w:rsidP="00862F88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Opcjonalny </w:t>
            </w:r>
            <w:r w:rsidRPr="00893C40">
              <w:rPr>
                <w:sz w:val="20"/>
                <w:lang w:val="pl-PL"/>
              </w:rPr>
              <w:t xml:space="preserve">1 port VGA na przednim panelu serwera. </w:t>
            </w:r>
            <w:r>
              <w:rPr>
                <w:sz w:val="20"/>
                <w:lang w:val="pl-PL"/>
              </w:rPr>
              <w:t>1 port VGA z tyłu serwera.</w:t>
            </w:r>
          </w:p>
        </w:tc>
      </w:tr>
      <w:tr w:rsidR="00862F88" w:rsidRPr="0087172B" w14:paraId="644B4129" w14:textId="77777777" w:rsidTr="00862F88">
        <w:tc>
          <w:tcPr>
            <w:tcW w:w="1366" w:type="pct"/>
            <w:shd w:val="clear" w:color="auto" w:fill="auto"/>
            <w:vAlign w:val="center"/>
          </w:tcPr>
          <w:p w14:paraId="3161F6F2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Rozbudowa dysków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164B5D69" w14:textId="3702B2A0" w:rsidR="00862F88" w:rsidRPr="00893C40" w:rsidRDefault="00862F88" w:rsidP="00862F88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Backplane dyskowy pozwalające na instalację 8 dysków SAS/SATA/SSD 2.5”. </w:t>
            </w:r>
            <w:r w:rsidRPr="00893C40">
              <w:rPr>
                <w:sz w:val="20"/>
                <w:lang w:val="pl-PL"/>
              </w:rPr>
              <w:t xml:space="preserve">W chwili dostawy serwer musi posiadać zainstalowane minimum </w:t>
            </w:r>
            <w:r>
              <w:rPr>
                <w:sz w:val="20"/>
                <w:lang w:val="pl-PL"/>
              </w:rPr>
              <w:t>8</w:t>
            </w:r>
            <w:r w:rsidRPr="00893C40">
              <w:rPr>
                <w:sz w:val="20"/>
                <w:lang w:val="pl-PL"/>
              </w:rPr>
              <w:t xml:space="preserve"> dysk</w:t>
            </w:r>
            <w:r>
              <w:rPr>
                <w:sz w:val="20"/>
                <w:lang w:val="pl-PL"/>
              </w:rPr>
              <w:t xml:space="preserve">ów SSD 960GB w RAID5 oraz kontroler dyskowy z obsługą RAID0,1,5,10 i </w:t>
            </w:r>
            <w:r w:rsidR="00410328">
              <w:rPr>
                <w:sz w:val="20"/>
                <w:lang w:val="pl-PL"/>
              </w:rPr>
              <w:t>pamięcią</w:t>
            </w:r>
            <w:r>
              <w:rPr>
                <w:sz w:val="20"/>
                <w:lang w:val="pl-PL"/>
              </w:rPr>
              <w:t xml:space="preserve"> cache min. 2GB.</w:t>
            </w:r>
          </w:p>
        </w:tc>
      </w:tr>
      <w:tr w:rsidR="00862F88" w:rsidRPr="0087172B" w14:paraId="26EA45D3" w14:textId="77777777" w:rsidTr="00862F88">
        <w:tc>
          <w:tcPr>
            <w:tcW w:w="1366" w:type="pct"/>
            <w:shd w:val="clear" w:color="auto" w:fill="auto"/>
            <w:vAlign w:val="center"/>
          </w:tcPr>
          <w:p w14:paraId="360FAEB1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Zasilacz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12AD8C41" w14:textId="428AE9F8" w:rsidR="00862F88" w:rsidRPr="00893C40" w:rsidRDefault="00862F88" w:rsidP="00862F88">
            <w:pPr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 xml:space="preserve">Minimum </w:t>
            </w:r>
            <w:r>
              <w:rPr>
                <w:sz w:val="20"/>
                <w:lang w:val="pl-PL"/>
              </w:rPr>
              <w:t xml:space="preserve">dwa </w:t>
            </w:r>
            <w:r w:rsidRPr="00893C40">
              <w:rPr>
                <w:sz w:val="20"/>
                <w:lang w:val="pl-PL"/>
              </w:rPr>
              <w:t xml:space="preserve">redundantne zasilacze o mocy minimum </w:t>
            </w:r>
            <w:r>
              <w:rPr>
                <w:sz w:val="20"/>
                <w:lang w:val="pl-PL"/>
              </w:rPr>
              <w:t>750</w:t>
            </w:r>
            <w:r w:rsidRPr="00893C40">
              <w:rPr>
                <w:sz w:val="20"/>
                <w:lang w:val="pl-PL"/>
              </w:rPr>
              <w:t xml:space="preserve">W z certyfikatem minimum </w:t>
            </w:r>
            <w:r>
              <w:rPr>
                <w:sz w:val="20"/>
                <w:lang w:val="pl-PL"/>
              </w:rPr>
              <w:t>Titanium.</w:t>
            </w:r>
          </w:p>
        </w:tc>
      </w:tr>
      <w:tr w:rsidR="00862F88" w:rsidRPr="0087172B" w14:paraId="42C4DD60" w14:textId="77777777" w:rsidTr="00862F88">
        <w:tc>
          <w:tcPr>
            <w:tcW w:w="1366" w:type="pct"/>
            <w:shd w:val="clear" w:color="auto" w:fill="auto"/>
            <w:vAlign w:val="center"/>
          </w:tcPr>
          <w:p w14:paraId="04856993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Interfejsy sieciowe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D2FEF8B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 xml:space="preserve">Jeden port RJ-45 o przepustowości 1GbE dedykowany dla karty zarządzającej. </w:t>
            </w:r>
          </w:p>
          <w:p w14:paraId="03055163" w14:textId="77777777" w:rsidR="00862F88" w:rsidRDefault="00862F88" w:rsidP="00862F88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Jedna dwuportowa karta 1/10Gb RJ45 zainstalowana w slocie OCP, wspierająca RoCE, SR-IOV oraz iSCSI boot. </w:t>
            </w:r>
          </w:p>
          <w:p w14:paraId="7E0FE4AE" w14:textId="77777777" w:rsidR="00862F88" w:rsidRPr="0015781F" w:rsidRDefault="00862F88" w:rsidP="00862F88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Kontroler FC dwuportowy 16Gb – preferowany chipset Emulex. </w:t>
            </w:r>
          </w:p>
        </w:tc>
      </w:tr>
      <w:tr w:rsidR="00862F88" w:rsidRPr="0087172B" w14:paraId="31AD91EF" w14:textId="77777777" w:rsidTr="00862F88">
        <w:tc>
          <w:tcPr>
            <w:tcW w:w="1366" w:type="pct"/>
            <w:shd w:val="clear" w:color="auto" w:fill="auto"/>
            <w:vAlign w:val="center"/>
          </w:tcPr>
          <w:p w14:paraId="156D8784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Dodatkowe sloty I/O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5F48C0D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 xml:space="preserve">Obudowa z </w:t>
            </w:r>
            <w:r>
              <w:rPr>
                <w:sz w:val="20"/>
                <w:lang w:val="pl-PL"/>
              </w:rPr>
              <w:t xml:space="preserve">możliwością </w:t>
            </w:r>
            <w:r w:rsidRPr="00893C40">
              <w:rPr>
                <w:sz w:val="20"/>
                <w:lang w:val="pl-PL"/>
              </w:rPr>
              <w:t>obsług</w:t>
            </w:r>
            <w:r>
              <w:rPr>
                <w:sz w:val="20"/>
                <w:lang w:val="pl-PL"/>
              </w:rPr>
              <w:t>i</w:t>
            </w:r>
            <w:r w:rsidRPr="00893C40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do 3 slotów </w:t>
            </w:r>
            <w:r w:rsidRPr="00893C40">
              <w:rPr>
                <w:sz w:val="20"/>
                <w:lang w:val="pl-PL"/>
              </w:rPr>
              <w:t xml:space="preserve">PCIe i </w:t>
            </w:r>
            <w:r>
              <w:rPr>
                <w:sz w:val="20"/>
                <w:lang w:val="pl-PL"/>
              </w:rPr>
              <w:t>do 8</w:t>
            </w:r>
            <w:r w:rsidRPr="00893C40">
              <w:rPr>
                <w:sz w:val="20"/>
                <w:lang w:val="pl-PL"/>
              </w:rPr>
              <w:t xml:space="preserve"> kart GPU. </w:t>
            </w:r>
            <w:r>
              <w:rPr>
                <w:sz w:val="20"/>
                <w:lang w:val="pl-PL"/>
              </w:rPr>
              <w:t>Dodatkowy port na kartę OCP.</w:t>
            </w:r>
          </w:p>
        </w:tc>
      </w:tr>
      <w:tr w:rsidR="00862F88" w:rsidRPr="001A4BE5" w14:paraId="44EB6941" w14:textId="77777777" w:rsidTr="00862F88">
        <w:tc>
          <w:tcPr>
            <w:tcW w:w="1366" w:type="pct"/>
            <w:shd w:val="clear" w:color="auto" w:fill="auto"/>
            <w:vAlign w:val="center"/>
          </w:tcPr>
          <w:p w14:paraId="6AC4550A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Dodatkowe porty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8FF4AF6" w14:textId="77777777" w:rsidR="00862F88" w:rsidRPr="00893C40" w:rsidRDefault="00862F88" w:rsidP="00862F8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5x USB 3.1, VGA</w:t>
            </w:r>
          </w:p>
        </w:tc>
      </w:tr>
      <w:tr w:rsidR="00862F88" w:rsidRPr="001A4BE5" w14:paraId="425F1FDD" w14:textId="77777777" w:rsidTr="00862F88">
        <w:tc>
          <w:tcPr>
            <w:tcW w:w="1366" w:type="pct"/>
            <w:shd w:val="clear" w:color="auto" w:fill="auto"/>
            <w:vAlign w:val="center"/>
          </w:tcPr>
          <w:p w14:paraId="1631AAB2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Chłodzenie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A6E3E77" w14:textId="77777777" w:rsidR="00862F88" w:rsidRPr="00893C40" w:rsidRDefault="00862F88" w:rsidP="00862F88">
            <w:pPr>
              <w:shd w:val="clear" w:color="auto" w:fill="FFFFFF"/>
              <w:spacing w:line="257" w:lineRule="atLeas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Redundatne wentylatory N+1</w:t>
            </w:r>
          </w:p>
        </w:tc>
      </w:tr>
      <w:tr w:rsidR="00862F88" w:rsidRPr="0087172B" w14:paraId="1100AE67" w14:textId="77777777" w:rsidTr="00862F88">
        <w:tc>
          <w:tcPr>
            <w:tcW w:w="1366" w:type="pct"/>
            <w:shd w:val="clear" w:color="auto" w:fill="auto"/>
            <w:vAlign w:val="center"/>
          </w:tcPr>
          <w:p w14:paraId="565649CF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3634" w:type="pct"/>
            <w:shd w:val="clear" w:color="auto" w:fill="auto"/>
          </w:tcPr>
          <w:p w14:paraId="475A72F3" w14:textId="77777777" w:rsidR="00862F88" w:rsidRDefault="00862F88" w:rsidP="00862F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Niezależna od zainstalowanego na serwerze systemu operacyjnego posiadająca dedykowany port Gigabit Ethernet RJ-45 i umożliwiająca:</w:t>
            </w:r>
          </w:p>
          <w:p w14:paraId="73F8AB91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zdalny dostęp do graficznego interfejsu Web karty zarządzającej;</w:t>
            </w:r>
          </w:p>
          <w:p w14:paraId="25DACAF8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zdalny dostęp poprzez SSH do CLI procesora serwisowego</w:t>
            </w:r>
          </w:p>
          <w:p w14:paraId="55A95825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obsługa IPMI 2.0, SNMP v3/v1, CIM-XML, DCMI 1.5, Redfish DMTF</w:t>
            </w:r>
          </w:p>
          <w:p w14:paraId="5CA76B4A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przekierowanie portu szeregowego przez IPMI oraz SSH</w:t>
            </w:r>
          </w:p>
          <w:p w14:paraId="1DCBECA6" w14:textId="68869FC4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zdalne monitorowanie i informowanie o statusie serwera (m.in. prędkości obrotowej wentylatorów, temperatury : </w:t>
            </w:r>
            <w:r w:rsidR="00410328">
              <w:rPr>
                <w:lang w:val="pl-PL"/>
              </w:rPr>
              <w:t>o</w:t>
            </w:r>
            <w:r>
              <w:rPr>
                <w:lang w:val="pl-PL"/>
              </w:rPr>
              <w:t>toczenia, CPU, pamięci DIMM);</w:t>
            </w:r>
          </w:p>
          <w:p w14:paraId="33424BF6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Out-of-Band (OOB) monitorowanie obciążenia CPU/Pamięci/IO oraz całego systemu</w:t>
            </w:r>
          </w:p>
          <w:p w14:paraId="1168E3ED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szyfrowane połączenie (TLS min TLS 1.2) oraz autentykacje i autoryzację użytkownika;</w:t>
            </w:r>
          </w:p>
          <w:p w14:paraId="7FFCC07A" w14:textId="65D388CF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 xml:space="preserve">możliwość zamontowania zdalnych wirtualnych napędów, (obrazy ISO) minimum 4 obrazy </w:t>
            </w:r>
            <w:r w:rsidR="00410328">
              <w:rPr>
                <w:lang w:val="pl-PL"/>
              </w:rPr>
              <w:t>ISO</w:t>
            </w:r>
            <w:r>
              <w:rPr>
                <w:lang w:val="pl-PL"/>
              </w:rPr>
              <w:t xml:space="preserve"> jednocześnie w czasie jednej sesji</w:t>
            </w:r>
          </w:p>
          <w:p w14:paraId="1E71102B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możliwość montowania obrazów ISO z lokalnej stacji zarządzającej poprzez przeglądarkę oraz poprzez współdzielone zasoby sieciowe min NFS/CIFS/HTTPS</w:t>
            </w:r>
          </w:p>
          <w:p w14:paraId="7286013C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wirtualną konsolę z dostępem do myszy, klawiatury;</w:t>
            </w:r>
          </w:p>
          <w:p w14:paraId="19EA3CCE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wirtualna konsola oraz montowanie obrazów ISO bez instalacji dodatkowych komponentów Java czy AciveX (musi działać w oparciu o HTML5)</w:t>
            </w:r>
          </w:p>
          <w:p w14:paraId="4A2B74CA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</w:pPr>
            <w:r>
              <w:t>wsparcie dla IPv6;</w:t>
            </w:r>
          </w:p>
          <w:p w14:paraId="002C4DF1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wsparcie dla; SNMP; IPMI2.0, SSH, Redfish;</w:t>
            </w:r>
          </w:p>
          <w:p w14:paraId="3EB6C0E3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możliwość zdalnego monitorowania w czasie rzeczywistym oraz historycznym min 24h poboru mocy oraz temperatur w serwerze;</w:t>
            </w:r>
          </w:p>
          <w:p w14:paraId="04128FFF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możliwość zdalnego ustawienia limitu poboru prądu przez konkretny serwer;</w:t>
            </w:r>
          </w:p>
          <w:p w14:paraId="572AEF18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</w:pPr>
            <w:r>
              <w:t>integracja z Active Directory</w:t>
            </w:r>
          </w:p>
          <w:p w14:paraId="2523542C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możliwość zdefiniowania min 12 użytkowników lokalnych na karcie zarządzającej</w:t>
            </w:r>
          </w:p>
          <w:p w14:paraId="5760D767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  <w:rPr>
                <w:lang w:val="pl-PL"/>
              </w:rPr>
            </w:pPr>
            <w:r>
              <w:rPr>
                <w:lang w:val="pl-PL"/>
              </w:rPr>
              <w:t>możliwość obsługi zdalnej konsoli przez minimum czterech administratorów jednocześnie;</w:t>
            </w:r>
          </w:p>
          <w:p w14:paraId="393465D5" w14:textId="77777777" w:rsidR="00862F88" w:rsidRDefault="00862F88" w:rsidP="00862F88">
            <w:pPr>
              <w:pStyle w:val="Akapitzlist"/>
              <w:numPr>
                <w:ilvl w:val="0"/>
                <w:numId w:val="2"/>
              </w:numPr>
              <w:autoSpaceDN w:val="0"/>
              <w:spacing w:after="160" w:line="252" w:lineRule="auto"/>
            </w:pPr>
            <w:r>
              <w:t>wsparcie dla dynamic DNS;</w:t>
            </w:r>
          </w:p>
          <w:p w14:paraId="2A3366EF" w14:textId="77777777" w:rsidR="00862F88" w:rsidRPr="00893C40" w:rsidRDefault="00862F88" w:rsidP="00862F88">
            <w:p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możliwość podglądu stanu serwera poprzez port USB i aplikację na urządzenie mobilne Android/iOS</w:t>
            </w:r>
          </w:p>
        </w:tc>
      </w:tr>
      <w:tr w:rsidR="00862F88" w:rsidRPr="0087172B" w14:paraId="23BCBB25" w14:textId="77777777" w:rsidTr="00862F88">
        <w:tc>
          <w:tcPr>
            <w:tcW w:w="1366" w:type="pct"/>
            <w:shd w:val="clear" w:color="auto" w:fill="auto"/>
            <w:vAlign w:val="center"/>
          </w:tcPr>
          <w:p w14:paraId="622F5525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lastRenderedPageBreak/>
              <w:t>Funkcje zabezpieczeń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4CE26154" w14:textId="7F345D83" w:rsidR="00862F88" w:rsidRPr="00893C40" w:rsidRDefault="00862F88" w:rsidP="00862F88">
            <w:pPr>
              <w:jc w:val="both"/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>Hasło włączania, hasło administratora, moduł TPM (wspierający TPM 2.0). Możliwość użycia fun</w:t>
            </w:r>
            <w:r w:rsidR="00410328">
              <w:rPr>
                <w:sz w:val="20"/>
                <w:lang w:val="pl-PL"/>
              </w:rPr>
              <w:t>k</w:t>
            </w:r>
            <w:r w:rsidRPr="00893C40">
              <w:rPr>
                <w:sz w:val="20"/>
                <w:lang w:val="pl-PL"/>
              </w:rPr>
              <w:t xml:space="preserve">cji Secure Boot. </w:t>
            </w:r>
            <w:r>
              <w:rPr>
                <w:sz w:val="20"/>
                <w:lang w:val="pl-PL"/>
              </w:rPr>
              <w:t xml:space="preserve">Możliwość rozbudowy o przednią obudowę zamykana na klucz i dołożenia fabrycznego czujnika otwarcia obudowy. </w:t>
            </w:r>
          </w:p>
        </w:tc>
      </w:tr>
      <w:tr w:rsidR="00862F88" w:rsidRPr="00893C40" w14:paraId="75265BAF" w14:textId="77777777" w:rsidTr="00862F88">
        <w:tc>
          <w:tcPr>
            <w:tcW w:w="1366" w:type="pct"/>
            <w:shd w:val="clear" w:color="auto" w:fill="auto"/>
            <w:vAlign w:val="center"/>
          </w:tcPr>
          <w:p w14:paraId="1A6435F0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Urządzenia hot swap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1175F435" w14:textId="77777777" w:rsidR="00862F88" w:rsidRPr="00893C40" w:rsidRDefault="00862F88" w:rsidP="00862F88">
            <w:pPr>
              <w:jc w:val="both"/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>Dyski twarde, zasilacze</w:t>
            </w:r>
            <w:r>
              <w:rPr>
                <w:sz w:val="20"/>
                <w:lang w:val="pl-PL"/>
              </w:rPr>
              <w:t>, wentylatory</w:t>
            </w:r>
            <w:r w:rsidRPr="00893C40">
              <w:rPr>
                <w:sz w:val="20"/>
                <w:lang w:val="pl-PL"/>
              </w:rPr>
              <w:t>.</w:t>
            </w:r>
          </w:p>
        </w:tc>
      </w:tr>
      <w:tr w:rsidR="00862F88" w:rsidRPr="0087172B" w14:paraId="014DE26D" w14:textId="77777777" w:rsidTr="00862F88">
        <w:tc>
          <w:tcPr>
            <w:tcW w:w="1366" w:type="pct"/>
            <w:shd w:val="clear" w:color="auto" w:fill="auto"/>
            <w:vAlign w:val="center"/>
          </w:tcPr>
          <w:p w14:paraId="5B983EE2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Diagnostyka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7AB15D1C" w14:textId="77777777" w:rsidR="00862F88" w:rsidRPr="00893C40" w:rsidRDefault="00862F88" w:rsidP="00862F88">
            <w:pPr>
              <w:jc w:val="both"/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 xml:space="preserve">Możliwość przewidywania awarii dla procesorów, regulatorów napięcia, pamięci, dysków wewnętrznych, wentylatorów, zasilaczy, a także nietypowych temperatur serwera i komponentów wewnętrznych. </w:t>
            </w:r>
          </w:p>
        </w:tc>
      </w:tr>
      <w:tr w:rsidR="00862F88" w:rsidRPr="0087172B" w14:paraId="0B7EB03E" w14:textId="77777777" w:rsidTr="00862F88">
        <w:tc>
          <w:tcPr>
            <w:tcW w:w="1366" w:type="pct"/>
            <w:shd w:val="clear" w:color="auto" w:fill="auto"/>
            <w:vAlign w:val="center"/>
          </w:tcPr>
          <w:p w14:paraId="23F42EC4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Systemy operacyjne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9B2CD66" w14:textId="77777777" w:rsidR="00862F88" w:rsidRPr="00603C63" w:rsidRDefault="00862F88" w:rsidP="00862F88">
            <w:pPr>
              <w:jc w:val="both"/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>Wsparcie dla systemów VMware ESXi 7.0</w:t>
            </w:r>
            <w:r>
              <w:rPr>
                <w:sz w:val="20"/>
                <w:lang w:val="pl-PL"/>
              </w:rPr>
              <w:t xml:space="preserve"> i 8.0</w:t>
            </w:r>
            <w:r w:rsidRPr="00893C40">
              <w:rPr>
                <w:sz w:val="20"/>
                <w:lang w:val="pl-PL"/>
              </w:rPr>
              <w:t xml:space="preserve">, SUSE Linux 12 i 15 , Redhat Linux (minimum w najnowszej i poprzedniej wersji systemu </w:t>
            </w:r>
            <w:r>
              <w:rPr>
                <w:sz w:val="20"/>
                <w:lang w:val="pl-PL"/>
              </w:rPr>
              <w:t xml:space="preserve">8 </w:t>
            </w:r>
            <w:r w:rsidRPr="00893C40">
              <w:rPr>
                <w:sz w:val="20"/>
                <w:lang w:val="pl-PL"/>
              </w:rPr>
              <w:t xml:space="preserve">i </w:t>
            </w:r>
            <w:r>
              <w:rPr>
                <w:sz w:val="20"/>
                <w:lang w:val="pl-PL"/>
              </w:rPr>
              <w:t>9</w:t>
            </w:r>
            <w:r w:rsidRPr="00893C40">
              <w:rPr>
                <w:sz w:val="20"/>
                <w:lang w:val="pl-PL"/>
              </w:rPr>
              <w:t>)</w:t>
            </w:r>
            <w:r>
              <w:rPr>
                <w:sz w:val="20"/>
                <w:lang w:val="pl-PL"/>
              </w:rPr>
              <w:t>, Ubuntu 20.04, 22.04, Windows 2019, 2022</w:t>
            </w:r>
          </w:p>
        </w:tc>
      </w:tr>
      <w:tr w:rsidR="00862F88" w:rsidRPr="00893C40" w14:paraId="29C27312" w14:textId="77777777" w:rsidTr="00862F88">
        <w:tc>
          <w:tcPr>
            <w:tcW w:w="1366" w:type="pct"/>
            <w:shd w:val="clear" w:color="auto" w:fill="auto"/>
            <w:vAlign w:val="center"/>
          </w:tcPr>
          <w:p w14:paraId="163BDECB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Waga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11DEC1EE" w14:textId="77777777" w:rsidR="00862F88" w:rsidRPr="00893C40" w:rsidRDefault="00862F88" w:rsidP="00862F88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Nieprzekraczająca 21kg</w:t>
            </w:r>
          </w:p>
        </w:tc>
      </w:tr>
      <w:tr w:rsidR="00862F88" w:rsidRPr="0087172B" w14:paraId="50883CFF" w14:textId="77777777" w:rsidTr="00862F88">
        <w:tc>
          <w:tcPr>
            <w:tcW w:w="1366" w:type="pct"/>
            <w:shd w:val="clear" w:color="auto" w:fill="auto"/>
            <w:vAlign w:val="center"/>
          </w:tcPr>
          <w:p w14:paraId="23C54871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 w:rsidRPr="00893C40">
              <w:rPr>
                <w:b/>
                <w:sz w:val="20"/>
                <w:lang w:val="pl-PL"/>
              </w:rPr>
              <w:t>Wymagania środowiskowe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278D4CA" w14:textId="77777777" w:rsidR="00862F88" w:rsidRPr="00893C40" w:rsidRDefault="00862F88" w:rsidP="00862F88">
            <w:pPr>
              <w:jc w:val="both"/>
              <w:rPr>
                <w:sz w:val="20"/>
                <w:lang w:val="pl-PL"/>
              </w:rPr>
            </w:pPr>
            <w:r w:rsidRPr="00893C40">
              <w:rPr>
                <w:sz w:val="20"/>
                <w:lang w:val="pl-PL"/>
              </w:rPr>
              <w:t>Serwer musi umożliwiać pracę w zakresie temperatur 10-</w:t>
            </w:r>
            <w:r>
              <w:rPr>
                <w:sz w:val="20"/>
                <w:lang w:val="pl-PL"/>
              </w:rPr>
              <w:t>4</w:t>
            </w:r>
            <w:r w:rsidRPr="00893C40">
              <w:rPr>
                <w:sz w:val="20"/>
                <w:lang w:val="pl-PL"/>
              </w:rPr>
              <w:t>5 st C. Klasa Ashrae</w:t>
            </w:r>
            <w:r>
              <w:rPr>
                <w:sz w:val="20"/>
                <w:lang w:val="pl-PL"/>
              </w:rPr>
              <w:t>4</w:t>
            </w:r>
            <w:r w:rsidRPr="00893C40">
              <w:rPr>
                <w:sz w:val="20"/>
                <w:lang w:val="pl-PL"/>
              </w:rPr>
              <w:t xml:space="preserve">. </w:t>
            </w:r>
          </w:p>
        </w:tc>
      </w:tr>
      <w:tr w:rsidR="00862F88" w:rsidRPr="0087172B" w14:paraId="38EEDABB" w14:textId="77777777" w:rsidTr="00862F88">
        <w:tc>
          <w:tcPr>
            <w:tcW w:w="1366" w:type="pct"/>
            <w:shd w:val="clear" w:color="auto" w:fill="auto"/>
            <w:vAlign w:val="center"/>
          </w:tcPr>
          <w:p w14:paraId="1598E6E5" w14:textId="77777777" w:rsidR="00862F88" w:rsidRPr="00893C40" w:rsidRDefault="00862F88" w:rsidP="00862F88">
            <w:pPr>
              <w:rPr>
                <w:b/>
                <w:sz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Warunki gwarancji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5DE9405" w14:textId="35D23620" w:rsidR="00862F88" w:rsidRDefault="00862F88" w:rsidP="00862F88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 lata gwarancji producenta</w:t>
            </w:r>
            <w:r w:rsidR="00C0738A">
              <w:rPr>
                <w:sz w:val="20"/>
                <w:szCs w:val="20"/>
                <w:lang w:val="pl-PL"/>
              </w:rPr>
              <w:t>.</w:t>
            </w:r>
          </w:p>
          <w:p w14:paraId="66E13977" w14:textId="77777777" w:rsidR="00862F88" w:rsidRDefault="00862F88" w:rsidP="00862F88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Zamawiający oczekuje możliwości zgłaszania zdarzeń serwisowych w trybie NBD następującymi kanałami: telefonicznie, przez Internet oraz z wykorzystaniem aplikacji.</w:t>
            </w:r>
          </w:p>
          <w:p w14:paraId="6966662A" w14:textId="77777777" w:rsidR="00862F88" w:rsidRDefault="00862F88" w:rsidP="00862F88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Możliwość sprawdzenia statusu gwarancji poprzez stronę producenta podając unikatowy numer urządzenia oraz pobieranie uaktualnień mikrokodu oraz sterowników.</w:t>
            </w:r>
          </w:p>
          <w:p w14:paraId="186A5498" w14:textId="4DB3751C" w:rsidR="00862F88" w:rsidRDefault="00862F88" w:rsidP="00862F88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Zamawiający oczekuje nieodpłatnego udostępnienia narzędzi serwisowych i procesów wsparcia umożliwiających: </w:t>
            </w:r>
            <w:r w:rsidR="00C0738A">
              <w:rPr>
                <w:sz w:val="20"/>
                <w:szCs w:val="20"/>
                <w:lang w:val="pl-PL"/>
              </w:rPr>
              <w:t>w</w:t>
            </w:r>
            <w:r>
              <w:rPr>
                <w:sz w:val="20"/>
                <w:szCs w:val="20"/>
                <w:lang w:val="pl-PL"/>
              </w:rPr>
              <w:t>ykrywanie usterek sprzętowych z predykcją awarii.</w:t>
            </w:r>
          </w:p>
          <w:p w14:paraId="423BFDF2" w14:textId="77777777" w:rsidR="00862F88" w:rsidRDefault="00862F88" w:rsidP="00862F88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Automatyczną diagnostykę i zdalne otwieranie zgłoszeń serwisowych.</w:t>
            </w:r>
          </w:p>
          <w:p w14:paraId="128A05A2" w14:textId="77777777" w:rsidR="00862F88" w:rsidRDefault="00862F88" w:rsidP="00862F88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Możliwość rozszerzenia gwarancji przez producenta do 7 lat.</w:t>
            </w:r>
          </w:p>
          <w:p w14:paraId="5406CDB9" w14:textId="7F6261F0" w:rsidR="00862F88" w:rsidRDefault="00862F88" w:rsidP="00862F88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Możliwość rozszerzenia gwarancji przez producenta do gwarancji naprawy uszkodzenia w ciągu 24h od daty zgłoszenia</w:t>
            </w:r>
            <w:r w:rsidR="00587B2F">
              <w:rPr>
                <w:sz w:val="20"/>
                <w:szCs w:val="20"/>
                <w:lang w:val="pl-PL"/>
              </w:rPr>
              <w:t>.</w:t>
            </w:r>
          </w:p>
          <w:p w14:paraId="240F230D" w14:textId="28F74C23" w:rsidR="00862F88" w:rsidRDefault="00862F88" w:rsidP="00862F88">
            <w:pPr>
              <w:pStyle w:val="Standard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Firma serwisująca musi posiadać ISO 9001:2015 oraz ISO-27001 na świadczenie usług serwisowych oraz posiadać autoryzacje producenta urządzeń</w:t>
            </w:r>
            <w:r w:rsidR="00C0738A">
              <w:rPr>
                <w:sz w:val="20"/>
                <w:szCs w:val="20"/>
                <w:lang w:val="pl-PL"/>
              </w:rPr>
              <w:t>.</w:t>
            </w:r>
          </w:p>
          <w:p w14:paraId="73C07253" w14:textId="77777777" w:rsidR="00862F88" w:rsidRPr="00893C40" w:rsidRDefault="00862F88" w:rsidP="00862F88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  <w:tr w:rsidR="00862F88" w:rsidRPr="00933817" w14:paraId="5AED2864" w14:textId="77777777" w:rsidTr="00862F88">
        <w:tc>
          <w:tcPr>
            <w:tcW w:w="1366" w:type="pct"/>
            <w:shd w:val="clear" w:color="auto" w:fill="auto"/>
            <w:vAlign w:val="center"/>
          </w:tcPr>
          <w:p w14:paraId="3E4A0616" w14:textId="77777777" w:rsidR="00862F88" w:rsidRPr="004B3DC7" w:rsidRDefault="00862F88" w:rsidP="00862F88">
            <w:pPr>
              <w:rPr>
                <w:b/>
                <w:sz w:val="20"/>
                <w:lang w:val="pl-PL"/>
              </w:rPr>
            </w:pPr>
            <w:r w:rsidRPr="004B3DC7">
              <w:rPr>
                <w:b/>
                <w:sz w:val="20"/>
                <w:lang w:val="pl-PL"/>
              </w:rPr>
              <w:lastRenderedPageBreak/>
              <w:t>Oprogramowanie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38D83EC7" w14:textId="77777777" w:rsidR="00862F88" w:rsidRPr="004B3DC7" w:rsidRDefault="00862F88" w:rsidP="00862F88">
            <w:pPr>
              <w:rPr>
                <w:sz w:val="20"/>
                <w:lang w:val="pl-PL"/>
              </w:rPr>
            </w:pPr>
            <w:r w:rsidRPr="004B3DC7">
              <w:rPr>
                <w:sz w:val="20"/>
                <w:lang w:val="pl-PL"/>
              </w:rPr>
              <w:t xml:space="preserve">Dostarczone wraz z serwerem licencje oprogramowania Microsoft Server 2022 Standard pokrywające licencjami wszystkie rdzenie w serwerze. </w:t>
            </w:r>
          </w:p>
        </w:tc>
      </w:tr>
      <w:tr w:rsidR="00862F88" w14:paraId="68D8F97C" w14:textId="77777777" w:rsidTr="00862F88">
        <w:tc>
          <w:tcPr>
            <w:tcW w:w="1366" w:type="pct"/>
            <w:shd w:val="clear" w:color="auto" w:fill="auto"/>
            <w:vAlign w:val="center"/>
          </w:tcPr>
          <w:p w14:paraId="573364D6" w14:textId="77777777" w:rsidR="00862F88" w:rsidRPr="006C6466" w:rsidRDefault="00862F88" w:rsidP="00862F88">
            <w:pPr>
              <w:rPr>
                <w:b/>
                <w:sz w:val="20"/>
                <w:lang w:val="pl-PL"/>
              </w:rPr>
            </w:pPr>
            <w:r w:rsidRPr="006C6466">
              <w:rPr>
                <w:b/>
                <w:sz w:val="20"/>
                <w:lang w:val="pl-PL"/>
              </w:rPr>
              <w:t>Certyfikaty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9B03DC8" w14:textId="77777777" w:rsidR="00862F88" w:rsidRPr="006C6466" w:rsidRDefault="00862F88" w:rsidP="00862F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Serwer musi być wyprodukowany zgodnie z normą ISO-9001:2015, ISO-50001 oraz ISO-14001</w:t>
            </w:r>
          </w:p>
          <w:p w14:paraId="293F0BE8" w14:textId="77777777" w:rsidR="00862F88" w:rsidRPr="006C6466" w:rsidRDefault="00862F88" w:rsidP="00862F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Serwer musi posiadać deklaracja CE.</w:t>
            </w:r>
          </w:p>
          <w:p w14:paraId="72B88C7C" w14:textId="77777777" w:rsidR="00862F88" w:rsidRPr="006C6466" w:rsidRDefault="00862F88" w:rsidP="00862F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Oferowane produkty muszą zawierać informacje dotyczące ponownego użycia i recyklingu, nie mogą zawierać farb i powłok na dużych 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7" w:history="1">
              <w:r w:rsidRPr="006C6466">
                <w:rPr>
                  <w:rStyle w:val="Hipercze"/>
                  <w:sz w:val="20"/>
                  <w:szCs w:val="20"/>
                  <w:lang w:val="pl-PL"/>
                </w:rPr>
                <w:t>www.epeat.net</w:t>
              </w:r>
            </w:hyperlink>
            <w:r>
              <w:rPr>
                <w:sz w:val="20"/>
                <w:szCs w:val="20"/>
                <w:lang w:val="pl-PL"/>
              </w:rPr>
              <w:t xml:space="preserve"> potwierdzający spełnienie normy co najmniej Epeat Bronze według normy wprowadzonej w 2019 roku - </w:t>
            </w:r>
            <w:r w:rsidRPr="006C6466">
              <w:rPr>
                <w:sz w:val="20"/>
                <w:szCs w:val="20"/>
                <w:lang w:val="pl-PL"/>
              </w:rPr>
              <w:t>Wykonawca złoży dokument potwierdzający spełnianie wymogu.</w:t>
            </w:r>
          </w:p>
          <w:p w14:paraId="2CF25CA5" w14:textId="77777777" w:rsidR="00862F88" w:rsidRPr="006C6466" w:rsidRDefault="00862F88" w:rsidP="00862F88">
            <w:pPr>
              <w:rPr>
                <w:sz w:val="20"/>
                <w:szCs w:val="20"/>
              </w:rPr>
            </w:pPr>
            <w:r w:rsidRPr="006C6466">
              <w:rPr>
                <w:sz w:val="20"/>
                <w:szCs w:val="20"/>
              </w:rPr>
              <w:t>Oferowany serwer musi znajdować się na liście Windows Server Catalog i posiadać status „Certified for Windows” dla systemów Microsoft Windows Server 2016, Microsoft Windows Server 2019, Microsoft Windows Server 2022.</w:t>
            </w:r>
          </w:p>
        </w:tc>
      </w:tr>
      <w:tr w:rsidR="00587B2F" w14:paraId="0ADB9148" w14:textId="77777777" w:rsidTr="00862F88">
        <w:tc>
          <w:tcPr>
            <w:tcW w:w="1366" w:type="pct"/>
            <w:shd w:val="clear" w:color="auto" w:fill="auto"/>
            <w:vAlign w:val="center"/>
          </w:tcPr>
          <w:p w14:paraId="5E0DCE57" w14:textId="09C8DD94" w:rsidR="00587B2F" w:rsidRPr="006C6466" w:rsidRDefault="00587B2F" w:rsidP="00862F88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Inne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2B1D23F" w14:textId="663E99B8" w:rsidR="00587B2F" w:rsidRDefault="0007619B" w:rsidP="00862F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Serwer powinien być nowy, nieużywany</w:t>
            </w:r>
            <w:r w:rsidR="00C9162C">
              <w:rPr>
                <w:sz w:val="20"/>
                <w:szCs w:val="20"/>
                <w:lang w:val="pl-PL"/>
              </w:rPr>
              <w:t>.</w:t>
            </w:r>
          </w:p>
        </w:tc>
      </w:tr>
    </w:tbl>
    <w:p w14:paraId="66E7F830" w14:textId="77777777" w:rsidR="00063D6B" w:rsidRDefault="00063D6B" w:rsidP="00063D6B">
      <w:pPr>
        <w:rPr>
          <w:b/>
          <w:bCs/>
          <w:u w:val="single"/>
        </w:rPr>
      </w:pPr>
    </w:p>
    <w:p w14:paraId="6C294A16" w14:textId="77777777" w:rsidR="00063D6B" w:rsidRDefault="00063D6B" w:rsidP="00063D6B">
      <w:pPr>
        <w:rPr>
          <w:b/>
          <w:bCs/>
          <w:u w:val="single"/>
        </w:rPr>
      </w:pPr>
    </w:p>
    <w:p w14:paraId="070C297A" w14:textId="77777777" w:rsidR="00063D6B" w:rsidRPr="00CF76FB" w:rsidRDefault="00063D6B" w:rsidP="00063D6B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  <w:lang w:val="pl-PL"/>
        </w:rPr>
        <w:t>Oprogramowanie do backupu</w:t>
      </w:r>
    </w:p>
    <w:p w14:paraId="789FEDFB" w14:textId="23089CBD" w:rsidR="00063D6B" w:rsidRDefault="00063D6B" w:rsidP="00063D6B">
      <w:pPr>
        <w:pStyle w:val="NormalnyWeb"/>
        <w:ind w:left="36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Zamawiający wymaga rozbudowy istniejącego środowiska backupowego o dodatkowy serwer oraz - możliwość centralnego zarządzania serwerami backupu: Central Administration Server Option. Licencjonowanie zgodnie z aktualnym modelem licencjonowania posiadanym przez Zamawiającego. Zamawiający wymaga dostarczenia </w:t>
      </w:r>
      <w:r w:rsidRPr="002643E1">
        <w:rPr>
          <w:rFonts w:ascii="Segoe UI" w:hAnsi="Segoe UI" w:cs="Segoe UI"/>
          <w:sz w:val="21"/>
          <w:szCs w:val="21"/>
        </w:rPr>
        <w:t>1 licencji Veritas backup exec server enterprise, licencja wieczysta z aktualnym wsparciem przez okres 36 m-cy</w:t>
      </w:r>
      <w:r w:rsidR="0007619B">
        <w:rPr>
          <w:rFonts w:ascii="Segoe UI" w:hAnsi="Segoe UI" w:cs="Segoe UI"/>
          <w:sz w:val="21"/>
          <w:szCs w:val="21"/>
        </w:rPr>
        <w:t>.</w:t>
      </w:r>
    </w:p>
    <w:p w14:paraId="2A79AD06" w14:textId="77777777" w:rsidR="00063D6B" w:rsidRPr="00711E65" w:rsidRDefault="00063D6B" w:rsidP="00063D6B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  <w:lang w:val="pl-PL"/>
        </w:rPr>
        <w:t>Prace wdrożeniowe:</w:t>
      </w:r>
    </w:p>
    <w:p w14:paraId="18EF75F4" w14:textId="77777777" w:rsidR="00063D6B" w:rsidRDefault="00063D6B" w:rsidP="00063D6B">
      <w:pPr>
        <w:rPr>
          <w:b/>
          <w:bCs/>
          <w:u w:val="single"/>
        </w:rPr>
      </w:pPr>
    </w:p>
    <w:p w14:paraId="358CE304" w14:textId="2CB8D1EE" w:rsidR="00063D6B" w:rsidRDefault="00063D6B" w:rsidP="00063D6B">
      <w:pPr>
        <w:rPr>
          <w:rStyle w:val="ui-provider"/>
        </w:rPr>
      </w:pPr>
      <w:r>
        <w:rPr>
          <w:rStyle w:val="ui-provider"/>
        </w:rPr>
        <w:t xml:space="preserve">Instalacja i konfiguracja dostarczonego serwera: </w:t>
      </w:r>
    </w:p>
    <w:p w14:paraId="78EDCDF7" w14:textId="34846516" w:rsidR="00063D6B" w:rsidRDefault="00063D6B" w:rsidP="00063D6B">
      <w:pPr>
        <w:rPr>
          <w:rStyle w:val="ui-provider"/>
        </w:rPr>
      </w:pPr>
      <w:r>
        <w:rPr>
          <w:rStyle w:val="ui-provider"/>
        </w:rPr>
        <w:t xml:space="preserve">1. </w:t>
      </w:r>
      <w:r w:rsidR="0007619B">
        <w:rPr>
          <w:rStyle w:val="ui-provider"/>
        </w:rPr>
        <w:t>I</w:t>
      </w:r>
      <w:r>
        <w:rPr>
          <w:rStyle w:val="ui-provider"/>
        </w:rPr>
        <w:t>nstalacj</w:t>
      </w:r>
      <w:r w:rsidR="0007619B">
        <w:rPr>
          <w:rStyle w:val="ui-provider"/>
        </w:rPr>
        <w:t>a</w:t>
      </w:r>
      <w:r>
        <w:rPr>
          <w:rStyle w:val="ui-provider"/>
        </w:rPr>
        <w:t xml:space="preserve"> aktualnego fir</w:t>
      </w:r>
      <w:r w:rsidR="0007619B">
        <w:rPr>
          <w:rStyle w:val="ui-provider"/>
        </w:rPr>
        <w:t>m</w:t>
      </w:r>
      <w:r>
        <w:rPr>
          <w:rStyle w:val="ui-provider"/>
        </w:rPr>
        <w:t xml:space="preserve">ware, </w:t>
      </w:r>
    </w:p>
    <w:p w14:paraId="560381CD" w14:textId="7A0509D5" w:rsidR="00063D6B" w:rsidRDefault="00063D6B" w:rsidP="00063D6B">
      <w:pPr>
        <w:rPr>
          <w:rStyle w:val="ui-provider"/>
        </w:rPr>
      </w:pPr>
      <w:r>
        <w:rPr>
          <w:rStyle w:val="ui-provider"/>
        </w:rPr>
        <w:t xml:space="preserve">2. </w:t>
      </w:r>
      <w:r w:rsidR="0007619B">
        <w:rPr>
          <w:rStyle w:val="ui-provider"/>
        </w:rPr>
        <w:t>K</w:t>
      </w:r>
      <w:r>
        <w:rPr>
          <w:rStyle w:val="ui-provider"/>
        </w:rPr>
        <w:t>onfiguracja przestrzeni dyskowej</w:t>
      </w:r>
      <w:r w:rsidR="0007619B">
        <w:rPr>
          <w:rStyle w:val="ui-provider"/>
        </w:rPr>
        <w:t>,</w:t>
      </w:r>
    </w:p>
    <w:p w14:paraId="5F978617" w14:textId="5F1576B9" w:rsidR="00063D6B" w:rsidRDefault="00063D6B" w:rsidP="00063D6B">
      <w:pPr>
        <w:rPr>
          <w:rStyle w:val="ui-provider"/>
        </w:rPr>
      </w:pPr>
      <w:r>
        <w:rPr>
          <w:rStyle w:val="ui-provider"/>
        </w:rPr>
        <w:t xml:space="preserve">3. </w:t>
      </w:r>
      <w:r w:rsidR="0007619B">
        <w:rPr>
          <w:rStyle w:val="ui-provider"/>
        </w:rPr>
        <w:t>I</w:t>
      </w:r>
      <w:r>
        <w:rPr>
          <w:rStyle w:val="ui-provider"/>
        </w:rPr>
        <w:t>nstalacja systemu operacjnego</w:t>
      </w:r>
      <w:r w:rsidR="0007619B">
        <w:rPr>
          <w:rStyle w:val="ui-provider"/>
        </w:rPr>
        <w:t>,</w:t>
      </w:r>
    </w:p>
    <w:p w14:paraId="52FFFA6B" w14:textId="2D087279" w:rsidR="00063D6B" w:rsidRDefault="00063D6B" w:rsidP="00063D6B">
      <w:pPr>
        <w:rPr>
          <w:rStyle w:val="ui-provider"/>
        </w:rPr>
      </w:pPr>
      <w:r>
        <w:rPr>
          <w:rStyle w:val="ui-provider"/>
        </w:rPr>
        <w:t xml:space="preserve">4. </w:t>
      </w:r>
      <w:r w:rsidR="0007619B">
        <w:rPr>
          <w:rStyle w:val="ui-provider"/>
        </w:rPr>
        <w:t>A</w:t>
      </w:r>
      <w:r>
        <w:rPr>
          <w:rStyle w:val="ui-provider"/>
        </w:rPr>
        <w:t>ktualizacja systemu operacyjnego</w:t>
      </w:r>
      <w:r w:rsidR="0007619B">
        <w:rPr>
          <w:rStyle w:val="ui-provider"/>
        </w:rPr>
        <w:t>,</w:t>
      </w:r>
    </w:p>
    <w:p w14:paraId="4136C173" w14:textId="4690667E" w:rsidR="00063D6B" w:rsidRDefault="00063D6B" w:rsidP="00063D6B">
      <w:pPr>
        <w:rPr>
          <w:rStyle w:val="ui-provider"/>
        </w:rPr>
      </w:pPr>
      <w:r>
        <w:rPr>
          <w:rStyle w:val="ui-provider"/>
        </w:rPr>
        <w:lastRenderedPageBreak/>
        <w:t xml:space="preserve">5. </w:t>
      </w:r>
      <w:r w:rsidR="0007619B">
        <w:rPr>
          <w:rStyle w:val="ui-provider"/>
        </w:rPr>
        <w:t>I</w:t>
      </w:r>
      <w:r>
        <w:rPr>
          <w:rStyle w:val="ui-provider"/>
        </w:rPr>
        <w:t>nstalacja i konfiguracja serwera Backup Exec oraz  skonfigurowanie i uruchomienie funkcjonalności: CASO  (Central Administration Server Option)</w:t>
      </w:r>
      <w:r w:rsidR="0007619B">
        <w:rPr>
          <w:rStyle w:val="ui-provider"/>
        </w:rPr>
        <w:t>,</w:t>
      </w:r>
      <w:r>
        <w:rPr>
          <w:rStyle w:val="ui-provider"/>
        </w:rPr>
        <w:t xml:space="preserve"> </w:t>
      </w:r>
    </w:p>
    <w:p w14:paraId="6CA825CD" w14:textId="2B379103" w:rsidR="00063D6B" w:rsidRDefault="00063D6B" w:rsidP="00063D6B">
      <w:pPr>
        <w:rPr>
          <w:rStyle w:val="ui-provider"/>
        </w:rPr>
      </w:pPr>
      <w:r>
        <w:rPr>
          <w:rStyle w:val="ui-provider"/>
        </w:rPr>
        <w:t xml:space="preserve">6. </w:t>
      </w:r>
      <w:r w:rsidR="0007619B">
        <w:rPr>
          <w:rStyle w:val="ui-provider"/>
        </w:rPr>
        <w:t>A</w:t>
      </w:r>
      <w:r>
        <w:rPr>
          <w:rStyle w:val="ui-provider"/>
        </w:rPr>
        <w:t xml:space="preserve">ktualizacja systemów backupu do najnowszej wersji, </w:t>
      </w:r>
    </w:p>
    <w:p w14:paraId="09BF1F30" w14:textId="2F975759" w:rsidR="00063D6B" w:rsidRPr="00AC6A2F" w:rsidRDefault="00063D6B" w:rsidP="00063D6B">
      <w:r>
        <w:rPr>
          <w:rStyle w:val="ui-provider"/>
        </w:rPr>
        <w:t xml:space="preserve">7. </w:t>
      </w:r>
      <w:r w:rsidR="0007619B">
        <w:rPr>
          <w:rStyle w:val="ui-provider"/>
        </w:rPr>
        <w:t>O</w:t>
      </w:r>
      <w:r>
        <w:rPr>
          <w:rStyle w:val="ui-provider"/>
        </w:rPr>
        <w:t>pracowani</w:t>
      </w:r>
      <w:r w:rsidR="0007619B">
        <w:rPr>
          <w:rStyle w:val="ui-provider"/>
        </w:rPr>
        <w:t>e</w:t>
      </w:r>
      <w:r>
        <w:rPr>
          <w:rStyle w:val="ui-provider"/>
        </w:rPr>
        <w:t xml:space="preserve"> dokumentacji powdrożeniowej</w:t>
      </w:r>
      <w:r w:rsidR="0007619B">
        <w:rPr>
          <w:rStyle w:val="ui-provider"/>
        </w:rPr>
        <w:t>.</w:t>
      </w:r>
    </w:p>
    <w:p w14:paraId="186E8FA6" w14:textId="652C4688" w:rsidR="001645FE" w:rsidRDefault="001645FE"/>
    <w:sectPr w:rsidR="001645FE" w:rsidSect="00623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1901" w14:textId="77777777" w:rsidR="00C0738A" w:rsidRDefault="00C0738A">
      <w:r>
        <w:separator/>
      </w:r>
    </w:p>
  </w:endnote>
  <w:endnote w:type="continuationSeparator" w:id="0">
    <w:p w14:paraId="070C586E" w14:textId="77777777" w:rsidR="00C0738A" w:rsidRDefault="00C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C17B" w14:textId="77777777" w:rsidR="00C9162C" w:rsidRPr="007B2912" w:rsidRDefault="00C9162C" w:rsidP="007B2912">
    <w:pPr>
      <w:pStyle w:val="Stopka"/>
      <w:pBdr>
        <w:top w:val="single" w:sz="4" w:space="1" w:color="D9D9D9"/>
      </w:pBdr>
      <w:rPr>
        <w:rFonts w:ascii="Century Gothic" w:hAnsi="Century Gothic"/>
        <w:b/>
        <w:color w:val="375439"/>
        <w:sz w:val="16"/>
        <w:szCs w:val="16"/>
      </w:rPr>
    </w:pPr>
    <w:r w:rsidRPr="0093152B">
      <w:rPr>
        <w:rFonts w:ascii="Century Gothic" w:hAnsi="Century Gothic"/>
        <w:color w:val="375439"/>
        <w:sz w:val="16"/>
        <w:szCs w:val="16"/>
      </w:rPr>
      <w:fldChar w:fldCharType="begin"/>
    </w:r>
    <w:r w:rsidRPr="0093152B">
      <w:rPr>
        <w:rFonts w:ascii="Century Gothic" w:hAnsi="Century Gothic"/>
        <w:color w:val="375439"/>
        <w:sz w:val="16"/>
        <w:szCs w:val="16"/>
      </w:rPr>
      <w:instrText xml:space="preserve"> PAGE   \* MERGEFORMAT </w:instrText>
    </w:r>
    <w:r w:rsidRPr="0093152B">
      <w:rPr>
        <w:rFonts w:ascii="Century Gothic" w:hAnsi="Century Gothic"/>
        <w:color w:val="375439"/>
        <w:sz w:val="16"/>
        <w:szCs w:val="16"/>
      </w:rPr>
      <w:fldChar w:fldCharType="separate"/>
    </w:r>
    <w:r w:rsidRPr="009A576E">
      <w:rPr>
        <w:rFonts w:ascii="Century Gothic" w:hAnsi="Century Gothic"/>
        <w:b/>
        <w:noProof/>
        <w:color w:val="375439"/>
        <w:sz w:val="16"/>
        <w:szCs w:val="16"/>
      </w:rPr>
      <w:t>7</w:t>
    </w:r>
    <w:r w:rsidRPr="0093152B">
      <w:rPr>
        <w:rFonts w:ascii="Century Gothic" w:hAnsi="Century Gothic"/>
        <w:color w:val="375439"/>
        <w:sz w:val="16"/>
        <w:szCs w:val="16"/>
      </w:rPr>
      <w:fldChar w:fldCharType="end"/>
    </w:r>
    <w:r w:rsidRPr="0093152B">
      <w:rPr>
        <w:rFonts w:ascii="Century Gothic" w:hAnsi="Century Gothic"/>
        <w:b/>
        <w:color w:val="375439"/>
        <w:sz w:val="16"/>
        <w:szCs w:val="16"/>
      </w:rPr>
      <w:t xml:space="preserve"> | </w:t>
    </w:r>
    <w:r w:rsidRPr="0093152B">
      <w:rPr>
        <w:rFonts w:ascii="Century Gothic" w:hAnsi="Century Gothic"/>
        <w:color w:val="375439"/>
        <w:spacing w:val="60"/>
        <w:sz w:val="16"/>
        <w:szCs w:val="16"/>
      </w:rPr>
      <w:t>Strona</w:t>
    </w:r>
    <w:r w:rsidRPr="0093152B">
      <w:rPr>
        <w:rFonts w:ascii="Century Gothic" w:hAnsi="Century Gothic"/>
        <w:color w:val="375439"/>
        <w:spacing w:val="60"/>
        <w:sz w:val="16"/>
        <w:szCs w:val="16"/>
      </w:rPr>
      <w:tab/>
    </w:r>
    <w:r w:rsidRPr="0093152B">
      <w:rPr>
        <w:rFonts w:ascii="Century Gothic" w:hAnsi="Century Gothic"/>
        <w:color w:val="375439"/>
        <w:spacing w:val="6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6D1E" w14:textId="77777777" w:rsidR="00C0738A" w:rsidRDefault="00C0738A">
      <w:r>
        <w:separator/>
      </w:r>
    </w:p>
  </w:footnote>
  <w:footnote w:type="continuationSeparator" w:id="0">
    <w:p w14:paraId="0899B7D6" w14:textId="77777777" w:rsidR="00C0738A" w:rsidRDefault="00C0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35B4" w14:textId="77777777" w:rsidR="00C9162C" w:rsidRDefault="00C91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03A0"/>
    <w:multiLevelType w:val="multilevel"/>
    <w:tmpl w:val="82E62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83440A9"/>
    <w:multiLevelType w:val="hybridMultilevel"/>
    <w:tmpl w:val="7492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16764"/>
    <w:multiLevelType w:val="multilevel"/>
    <w:tmpl w:val="64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748414">
    <w:abstractNumId w:val="2"/>
  </w:num>
  <w:num w:numId="2" w16cid:durableId="1566640939">
    <w:abstractNumId w:val="0"/>
  </w:num>
  <w:num w:numId="3" w16cid:durableId="137075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AA"/>
    <w:rsid w:val="00063D6B"/>
    <w:rsid w:val="0007619B"/>
    <w:rsid w:val="001645FE"/>
    <w:rsid w:val="00410328"/>
    <w:rsid w:val="00587B2F"/>
    <w:rsid w:val="00862F88"/>
    <w:rsid w:val="00880EAA"/>
    <w:rsid w:val="00C0738A"/>
    <w:rsid w:val="00C9162C"/>
    <w:rsid w:val="00DE468C"/>
    <w:rsid w:val="00E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7501"/>
  <w15:chartTrackingRefBased/>
  <w15:docId w15:val="{CA2392BB-3C09-4A7C-BCA6-706EC6E1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PP"/>
    <w:qFormat/>
    <w:rsid w:val="00063D6B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3D6B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63D6B"/>
    <w:rPr>
      <w:rFonts w:ascii="Cambria" w:eastAsia="Times New Roman" w:hAnsi="Cambria" w:cs="Times New Roman"/>
      <w:kern w:val="0"/>
      <w:sz w:val="20"/>
      <w:szCs w:val="20"/>
      <w:lang w:val="x-none" w:eastAsia="x-none"/>
      <w14:ligatures w14:val="none"/>
    </w:rPr>
  </w:style>
  <w:style w:type="paragraph" w:styleId="Stopka">
    <w:name w:val="footer"/>
    <w:basedOn w:val="Normalny"/>
    <w:link w:val="StopkaZnak"/>
    <w:rsid w:val="00063D6B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63D6B"/>
    <w:rPr>
      <w:rFonts w:ascii="Cambria" w:eastAsia="Times New Roman" w:hAnsi="Cambria" w:cs="Times New Roman"/>
      <w:kern w:val="0"/>
      <w:sz w:val="20"/>
      <w:szCs w:val="20"/>
      <w:lang w:val="x-none" w:eastAsia="x-none"/>
      <w14:ligatures w14:val="none"/>
    </w:rPr>
  </w:style>
  <w:style w:type="character" w:styleId="Hipercze">
    <w:name w:val="Hyperlink"/>
    <w:rsid w:val="00063D6B"/>
    <w:rPr>
      <w:color w:val="DB5353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63D6B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63D6B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Standard">
    <w:name w:val="Standard"/>
    <w:basedOn w:val="Normalny"/>
    <w:rsid w:val="00063D6B"/>
    <w:pPr>
      <w:autoSpaceDN w:val="0"/>
      <w:spacing w:after="160" w:line="252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unhideWhenUsed/>
    <w:rsid w:val="00063D6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ui-provider">
    <w:name w:val="ui-provider"/>
    <w:basedOn w:val="Domylnaczcionkaakapitu"/>
    <w:rsid w:val="0006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ea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Sławomir Wajda</cp:lastModifiedBy>
  <cp:revision>8</cp:revision>
  <dcterms:created xsi:type="dcterms:W3CDTF">2023-10-11T05:33:00Z</dcterms:created>
  <dcterms:modified xsi:type="dcterms:W3CDTF">2023-10-11T06:38:00Z</dcterms:modified>
</cp:coreProperties>
</file>